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F2A" w:rsidRDefault="00F07362" w:rsidP="00FD1B77">
      <w:pPr>
        <w:spacing w:before="100" w:beforeAutospacing="1" w:after="100" w:afterAutospacing="1" w:line="360" w:lineRule="auto"/>
        <w:jc w:val="right"/>
        <w:outlineLvl w:val="1"/>
        <w:rPr>
          <w:rFonts w:eastAsia="Times New Roman" w:cstheme="minorHAnsi"/>
          <w:bCs/>
          <w:sz w:val="24"/>
          <w:szCs w:val="24"/>
          <w:lang w:eastAsia="pl-PL"/>
        </w:rPr>
      </w:pPr>
      <w:r w:rsidRPr="009D5C71">
        <w:rPr>
          <w:rFonts w:eastAsia="Times New Roman" w:cstheme="minorHAnsi"/>
          <w:bCs/>
          <w:noProof/>
          <w:sz w:val="24"/>
          <w:szCs w:val="24"/>
          <w:lang w:eastAsia="pl-PL"/>
        </w:rPr>
        <w:drawing>
          <wp:inline distT="0" distB="0" distL="0" distR="0" wp14:anchorId="6127250F" wp14:editId="35C5A198">
            <wp:extent cx="819150" cy="819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F87" w:rsidRDefault="002C5F87" w:rsidP="002C5F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E6EC1" w:rsidRPr="00DE6EC1" w:rsidRDefault="00DE6EC1" w:rsidP="00DE6EC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sz w:val="28"/>
          <w:szCs w:val="28"/>
          <w:lang w:eastAsia="pl-PL"/>
        </w:rPr>
      </w:pPr>
      <w:r w:rsidRPr="00DE6EC1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DE6EC1"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t xml:space="preserve">Jan Englert  - </w:t>
      </w:r>
      <w:r w:rsidRPr="00DE6EC1">
        <w:rPr>
          <w:rFonts w:eastAsia="Times New Roman" w:cstheme="minorHAnsi"/>
          <w:b/>
          <w:sz w:val="28"/>
          <w:szCs w:val="28"/>
          <w:lang w:eastAsia="pl-PL"/>
        </w:rPr>
        <w:t>aktor, reżyser, pedagog, dyrektor Teatru Narodowego</w:t>
      </w:r>
    </w:p>
    <w:p w:rsidR="002C5F87" w:rsidRDefault="002C5F87" w:rsidP="002C5F8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bookmarkStart w:id="1" w:name="_GoBack"/>
      <w:bookmarkEnd w:id="1"/>
    </w:p>
    <w:p w:rsidR="00DE6EC1" w:rsidRPr="00DE6EC1" w:rsidRDefault="00DE6EC1" w:rsidP="00DE6EC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>Absolwent warszawskiej PWST (1964). Od 1997 roku w zespole Teatru Narodowego. </w:t>
      </w:r>
    </w:p>
    <w:p w:rsidR="00DE6EC1" w:rsidRPr="00DE6EC1" w:rsidRDefault="00DE6EC1" w:rsidP="00DE6EC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Aktor warszawskich teatrów: Polskiego (1964–1969, 1981–1994), Współczesnego (1969–1981). Zagrał w przedstawieniach Erwina Axera (Leon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Matce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; Banco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Macbecie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Ionesco, 1972; Pierwszy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Rzeczy listopadowej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Brylla, 1975), Jerzego Kreczmara (Mesa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Punkcie przecięcia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Claudela, 1973; Gustaw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Dziadach kowieńskich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Mickiewicza, 1978), Kazimierza Dejmka (Konrad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Wyzwoleniu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1982; Pan Młody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Weselu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Wyspiańskiego, 1984; w sztukach Mrożka: rola tytułowa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Vatzlavie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1982, Nieud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Letnim dniu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1984, Moris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Kontrakcie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; Bartodziej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Portrecie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1987; także Chlestakow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Rewizorze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Gogola, 1989), Andrzeja Łapickiego (Gustaw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Ślubach panieńskich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Fredry, 1984), Tadeusza Minca (Henryk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Ślubie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Gombrowicza, 1991), Macieja Prusa (tytułowa rola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Ryszardzie III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Shakespeare’a, 1993), Pawła Passiniego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Hamlet 44</w:t>
      </w:r>
      <w:r w:rsidRPr="00DE6EC1">
        <w:rPr>
          <w:rFonts w:eastAsia="Times New Roman" w:cstheme="minorHAnsi"/>
          <w:sz w:val="24"/>
          <w:szCs w:val="24"/>
          <w:lang w:eastAsia="pl-PL"/>
        </w:rPr>
        <w:t>), Grzegorza Jarzyny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T.E.O.R.E.M.A.T</w:t>
      </w:r>
      <w:r w:rsidRPr="00DE6EC1">
        <w:rPr>
          <w:rFonts w:eastAsia="Times New Roman" w:cstheme="minorHAnsi"/>
          <w:sz w:val="24"/>
          <w:szCs w:val="24"/>
          <w:lang w:eastAsia="pl-PL"/>
        </w:rPr>
        <w:t>. wg Pasoliniego, 2009). 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Wyreżyserował m.in.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Matkę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Bezimienne dzieło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i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Onych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Witkacego,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Kordiana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Słowackiego;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Śluby panieńskie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Fredry,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Udrękę życia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Levina; w Teatrze Telewizji: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Mewę </w:t>
      </w:r>
      <w:r w:rsidRPr="00DE6EC1">
        <w:rPr>
          <w:rFonts w:eastAsia="Times New Roman" w:cstheme="minorHAnsi"/>
          <w:sz w:val="24"/>
          <w:szCs w:val="24"/>
          <w:lang w:eastAsia="pl-PL"/>
        </w:rPr>
        <w:t>i 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Iwanowa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Czechowa,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Miesiąc na wsi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Turgieniewa,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Dziady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Mickiewicza,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Kordiana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i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Beatryks Cenci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Słowackiego. </w:t>
      </w:r>
      <w:r w:rsidRPr="00DE6EC1">
        <w:rPr>
          <w:rFonts w:eastAsia="Times New Roman" w:cstheme="minorHAnsi"/>
          <w:sz w:val="24"/>
          <w:szCs w:val="24"/>
          <w:lang w:eastAsia="pl-PL"/>
        </w:rPr>
        <w:br/>
        <w:t>Zagrał m.in. w filmach Andrzeja Wajdy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Kanał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Katyń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Tartak</w:t>
      </w:r>
      <w:r w:rsidRPr="00DE6EC1">
        <w:rPr>
          <w:rFonts w:eastAsia="Times New Roman" w:cstheme="minorHAnsi"/>
          <w:sz w:val="24"/>
          <w:szCs w:val="24"/>
          <w:lang w:eastAsia="pl-PL"/>
        </w:rPr>
        <w:t>), Kazimierza Kutza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Sól ziemi czarnej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Perła w koronie</w:t>
      </w:r>
      <w:r w:rsidRPr="00DE6EC1">
        <w:rPr>
          <w:rFonts w:eastAsia="Times New Roman" w:cstheme="minorHAnsi"/>
          <w:sz w:val="24"/>
          <w:szCs w:val="24"/>
          <w:lang w:eastAsia="pl-PL"/>
        </w:rPr>
        <w:t>), Janusza Zaorskiego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Baryton</w:t>
      </w:r>
      <w:r w:rsidRPr="00DE6EC1">
        <w:rPr>
          <w:rFonts w:eastAsia="Times New Roman" w:cstheme="minorHAnsi"/>
          <w:sz w:val="24"/>
          <w:szCs w:val="24"/>
          <w:lang w:eastAsia="pl-PL"/>
        </w:rPr>
        <w:t>), Filipa Bajona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Magnat</w:t>
      </w:r>
      <w:r w:rsidRPr="00DE6EC1">
        <w:rPr>
          <w:rFonts w:eastAsia="Times New Roman" w:cstheme="minorHAnsi"/>
          <w:sz w:val="24"/>
          <w:szCs w:val="24"/>
          <w:lang w:eastAsia="pl-PL"/>
        </w:rPr>
        <w:t>), a także w serialach Janusza Morgensterna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Kolumbowie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Polskie drogi</w:t>
      </w:r>
      <w:r w:rsidRPr="00DE6EC1">
        <w:rPr>
          <w:rFonts w:eastAsia="Times New Roman" w:cstheme="minorHAnsi"/>
          <w:sz w:val="24"/>
          <w:szCs w:val="24"/>
          <w:lang w:eastAsia="pl-PL"/>
        </w:rPr>
        <w:t>), Jerzego Antczaka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Noce i dnie</w:t>
      </w:r>
      <w:r w:rsidRPr="00DE6EC1">
        <w:rPr>
          <w:rFonts w:eastAsia="Times New Roman" w:cstheme="minorHAnsi"/>
          <w:sz w:val="24"/>
          <w:szCs w:val="24"/>
          <w:lang w:eastAsia="pl-PL"/>
        </w:rPr>
        <w:t>), Ryszarda Bera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Lalka</w:t>
      </w:r>
      <w:r w:rsidRPr="00DE6EC1">
        <w:rPr>
          <w:rFonts w:eastAsia="Times New Roman" w:cstheme="minorHAnsi"/>
          <w:sz w:val="24"/>
          <w:szCs w:val="24"/>
          <w:lang w:eastAsia="pl-PL"/>
        </w:rPr>
        <w:t>), Jana Łomnickiego (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Dom</w:t>
      </w:r>
      <w:r w:rsidRPr="00DE6EC1">
        <w:rPr>
          <w:rFonts w:eastAsia="Times New Roman" w:cstheme="minorHAnsi"/>
          <w:sz w:val="24"/>
          <w:szCs w:val="24"/>
          <w:lang w:eastAsia="pl-PL"/>
        </w:rPr>
        <w:t>).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>Profesor warszawskiej Akademii Teatralnej (dawniej PWST). Pełnił w niej funkcję dziekana wydziału aktorskiego (1981–1987) i rektora (1987–1993, 1996–2002). Za jego kadencji odbudowano Teatr Szkolny Collegium Nobilium i powołano Międzynarodowy Festiwal Szkół Teatralnych. W 2001 roku otrzymał tytuł honorowego profesora Rosyjskiej Akademii Sztuki Teatralnej w Moskwie.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Laureat Złotej Maski dla najpopularniejszego aktora (1971), a także Złotego Ekranu za najlepsze role męskie: Zygmunta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Kolumbach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Janusza Morgensterna oraz role w przedstawieniach Teatru Telewizji – Bilewicza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Małej ankiecie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Karvasa w reżyserii Jana Łomnickiego i Zbyszka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Moralności pani Dulskiej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Zapolskiej w reżyserii Józefa Słotwińskiego (1978). Wyróżniony tytułem „Gwiazdy Filmowego Sezonu” na 5. Lubuskim Lecie Filmowym w </w:t>
      </w:r>
      <w:r w:rsidRPr="00DE6EC1">
        <w:rPr>
          <w:rFonts w:eastAsia="Times New Roman" w:cstheme="minorHAnsi"/>
          <w:sz w:val="24"/>
          <w:szCs w:val="24"/>
          <w:lang w:eastAsia="pl-PL"/>
        </w:rPr>
        <w:lastRenderedPageBreak/>
        <w:t xml:space="preserve">Łagowie (1973) oraz nagrodą za rolę Ricarda Heredii w bułgarskim filmie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Skazańcy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Wyło Radewa na Międzynarodowym Festiwalu Filmów Medycznych i Czerwonego Krzyża w Warnie (1975). Zdobywca Super Wiktora (1999).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Wyróżniony nagrodami Kaliskich Spotkań Teatralnych – nagrodą za rolę Michaja Gruji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Największej świętości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Drucego w reżyserii Macieja Englerta w Teatrze Współczesnym w Warszawie (1978), nagrodą specjalną dla wykonawców i realizatorów przedstawienia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Kochajmy się!...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wg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Pana Tadeusza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Mickiewicza (1991; reżyseria oraz role Sędziego, Hrabiego), Grand Prix za rolę tytułową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Ryszardzie III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Shakespeare’a w reżyserii Macieja Prusa w Teatrze Polskim w Warszawie (1994). Za tę rolę otrzymał również tytuł laureata ogólnopolskiego rankingu teatralnego programu III Polskiego Radia.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Laureat nagród na Festiwalu Polskich Sztuk Współczesnych we Wrocławiu za role stworzone w Teatrze Polskim w Warszawie. W 1984 roku otrzymał nagrodę za kreację Nieuda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Letnim dniu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Mrożka w reżyserii Kazimierza Dejmka, w 1987 roku został uhonorowany za role Morisa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 xml:space="preserve">Kontrakcie 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Mrożka w reżyserii Dejmka i Piotra M. w przedstawieniu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Ołtarz wzniesiony sobie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Iredyńskiego w inscenizacji Jana Bratkowskiego, w 1988 otrzymał nagrodę główną za rolę Bartodzieja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Portrecie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Mrożka w reżyserii Dejmka.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Wyróżniony nagrodami Opolskich Konfrontacji Teatralnych – nagrodą za rolę Gustawa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Ślubach panieńskich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Fredry w reżyserii Andrzeja Łapickiego w Teatrze Polskim w Warszawie (1985), nagrodą za rolę Kaliksta Bałandaszka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Onych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Witkacego w reżyserii Rudolfa Zioły w Teatrze Powszechnym w Warszawie (1993).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Laureat nagrody za rolę Marka Antoniusza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Juliuszu Cezarze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Shakespeare’a w reżyserii Macieja Prusa w Teatrze Polskim w Warszawie na Festiwalu Szekspirowskim w Gdańsku (1997), podczas 23. Wrocławskich Spotkań Teatrów Jednego Aktora uhonorowany Nagrodą im. Lidii Zamkow i Leszka Herdegena oraz prywatną nagrodą rodziny Gerasów „Grand Prix Geras” za monodram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Św. Mikołaj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McPhersona w reżyserii Agnieszki Glińskiej w Teatrze Ateneum w Warszawie (1999). W 2001 roku wyróżniony tytułem Najprzyjemniejszego Aktora 7. Ogólnopolskiego Festiwalu Sztuk Przyjemnych w Łodzi, za rolę Arnolfa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Szkole żon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 Molière‘a we własnej reżyserii. Przedstawienie zostało uznane Najprzyjemniejszym Spektaklem. W 2006 roku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Bezimienne dzieło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w reżyserii Jana Englerta w Akademii Teatralnej w Warszawie otrzymało nagrodę dla najlepszego spektaklu 24. Festiwalu Szkół Teatralnych w Łodzi.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Uhonorowany Wielką Nagrodą Aktorską za rolę Paola w przedstawieniu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T.E.O.R.E.M.A.T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 wg Pasoliniego w reżyserii Grzegorza Jarzyny w TR Warszawa w 5. Ogólnopolskim Konkursie na Teatralną Inscenizację Dawnych Dzieł Literatury Europejskiej (2010), a także nagrodami Festiwalu Teatru Polskiego Radia i Teatru Telewizji Polskiej „Dwa Teatry” w Sopocie: Grand Prix za reżyserię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Juliusza Cezara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Shakespeare’a (2006), Grand Prix za rolę Eugeniusza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 xml:space="preserve">Tangu 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Mrożka w reżyserii Jerzego Jarockiego (2013), Nagrodą Honorową im. Krzysztofa Zaleskiego za twórczość odrzucającą stereotypy i łatwe nowinki, umocowaną w pamięci i historii, dotyczącą problemów współczesności (2014), Grand Prix za rolę Georges’a Mélièsa w słuchowisku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Podróż na księżyc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Moniki Milewskiej w reżyserii Anny Wieczur-Bluszcz (2015) oraz nagrodą za najlepszą reżyserię, za reżyserię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Męża i żony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Aleksandra Fredry (2016).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lastRenderedPageBreak/>
        <w:t>Zdobywca nagrody „Vox populi” – tytułu mistrza mowy polskiej w 4. Konkursie „Mistrz Mowy Polskiej” (2004).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 xml:space="preserve">Uhonorowany nagrodą ministra kultury i sztuki II stopnia za wybitne kreacje aktorskie (1989), nagrodą prezydenta miasta Warszawy za rolę Chlestakowa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 xml:space="preserve">Rewizorze 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Gogola w reżyserii Kazimierza Dejmka w Teatrze Polskim w Warszawie (1989), Nagrodą im. Aleksandra Zelwerowicza za rolę tytułową w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Ryszardzie III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Shakespeare’a w reżyserii Macieja Prusa w Teatrze Polskim w Warszawie (1994), Nagrodą im. Tadeusza Boya-Żeleńskiego za osiągnięcia aktorskie i reżyserskie oraz konsekwentne budowanie modelu Teatru Narodowego (2008), Nagrodą im. Cypriana Kamila Norwida w kategorii „Teatr” za wystawienie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Udręki życia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Levina w Teatrze Narodowym (2012) oraz Nagrodą im. Zygmunta Hübnera „Człowiek Teatru 2015” (2015). Wyróżniony Nagrodą Specjalną miesięcznika „Teatr” za: „nadanie wyjątkowego kształtu obchodom 250. rocznicy powstania sceny narodowej w Polsce, o czym świadczą znakomite premiery z udziałem całego zespołu: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Kordian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Juliusza Słowackiego w jego reżyserii,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Dziady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Adama Mickiewicza w interpretacji Eimuntasa Nekrošiusa i </w:t>
      </w:r>
      <w:r w:rsidRPr="00DE6EC1">
        <w:rPr>
          <w:rFonts w:eastAsia="Times New Roman" w:cstheme="minorHAnsi"/>
          <w:i/>
          <w:iCs/>
          <w:sz w:val="24"/>
          <w:szCs w:val="24"/>
          <w:lang w:eastAsia="pl-PL"/>
        </w:rPr>
        <w:t>PAN TADEUSZ – wszystkie słowa</w:t>
      </w:r>
      <w:r w:rsidRPr="00DE6EC1">
        <w:rPr>
          <w:rFonts w:eastAsia="Times New Roman" w:cstheme="minorHAnsi"/>
          <w:sz w:val="24"/>
          <w:szCs w:val="24"/>
          <w:lang w:eastAsia="pl-PL"/>
        </w:rPr>
        <w:t xml:space="preserve"> Mickiewicza w reżyserii Piotra Cieplaka, a także rocznicowe wydanie serii świetnych monografii poświęconych dziejom Teatru Narodowego w Warszawie” (2016).</w:t>
      </w:r>
    </w:p>
    <w:p w:rsidR="00DE6EC1" w:rsidRPr="00DE6EC1" w:rsidRDefault="00DE6EC1" w:rsidP="00DE6EC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E6EC1">
        <w:rPr>
          <w:rFonts w:eastAsia="Times New Roman" w:cstheme="minorHAnsi"/>
          <w:sz w:val="24"/>
          <w:szCs w:val="24"/>
          <w:lang w:eastAsia="pl-PL"/>
        </w:rPr>
        <w:t>Odznaczony Złotym Krzyżem Zasługi (1977), Krzyżem Kawalerskim Orderu Odrodzenia Polski (1988), Krzyżem Komandorskim Orderu Odrodzenia Polski (2001) i Złotym Medalem „Gloria Artis” (2005).</w:t>
      </w:r>
    </w:p>
    <w:p w:rsidR="00475416" w:rsidRPr="00DE6EC1" w:rsidRDefault="00475416" w:rsidP="00100296">
      <w:pPr>
        <w:rPr>
          <w:rFonts w:cstheme="minorHAnsi"/>
        </w:rPr>
      </w:pPr>
    </w:p>
    <w:sectPr w:rsidR="00475416" w:rsidRPr="00DE6EC1" w:rsidSect="001A1270">
      <w:headerReference w:type="default" r:id="rId9"/>
      <w:footerReference w:type="default" r:id="rId10"/>
      <w:pgSz w:w="11906" w:h="16838"/>
      <w:pgMar w:top="1417" w:right="1417" w:bottom="1417" w:left="1417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488" w:rsidRDefault="00927488" w:rsidP="00646748">
      <w:pPr>
        <w:spacing w:after="0" w:line="240" w:lineRule="auto"/>
      </w:pPr>
      <w:r>
        <w:separator/>
      </w:r>
    </w:p>
  </w:endnote>
  <w:endnote w:type="continuationSeparator" w:id="0">
    <w:p w:rsidR="00927488" w:rsidRDefault="00927488" w:rsidP="00646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otham Book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25D" w:rsidRDefault="00364388" w:rsidP="00704DF9">
    <w:pPr>
      <w:pStyle w:val="Footer"/>
      <w:rPr>
        <w:rFonts w:ascii="Gotham Book" w:hAnsi="Gotham Book"/>
        <w:sz w:val="20"/>
        <w:szCs w:val="20"/>
      </w:rPr>
    </w:pPr>
    <w:r>
      <w:rPr>
        <w:rFonts w:ascii="Gotham Book" w:hAnsi="Gotham Book"/>
        <w:sz w:val="20"/>
        <w:szCs w:val="20"/>
      </w:rPr>
      <w:t xml:space="preserve">                </w:t>
    </w:r>
    <w:r w:rsidR="00CA0994" w:rsidRPr="00704DF9">
      <w:rPr>
        <w:rFonts w:ascii="Gotham Book" w:hAnsi="Gotham Book"/>
        <w:sz w:val="20"/>
        <w:szCs w:val="20"/>
      </w:rPr>
      <w:t>Mecenasi Teatru Wielkiego - Opery Narodowej</w:t>
    </w:r>
    <w:r w:rsidR="00704DF9">
      <w:rPr>
        <w:rFonts w:ascii="Gotham Book" w:hAnsi="Gotham Book"/>
        <w:sz w:val="20"/>
        <w:szCs w:val="20"/>
      </w:rPr>
      <w:t xml:space="preserve"> </w:t>
    </w:r>
  </w:p>
  <w:p w:rsidR="00EE3522" w:rsidRPr="00704DF9" w:rsidRDefault="0016425D" w:rsidP="00704DF9">
    <w:pPr>
      <w:pStyle w:val="Footer"/>
      <w:rPr>
        <w:rFonts w:ascii="Gotham Book" w:hAnsi="Gotham Book"/>
        <w:sz w:val="20"/>
        <w:szCs w:val="20"/>
      </w:rPr>
    </w:pPr>
    <w:r>
      <w:rPr>
        <w:rFonts w:ascii="Gotham Book" w:hAnsi="Gotham Book"/>
        <w:sz w:val="20"/>
        <w:szCs w:val="20"/>
      </w:rPr>
      <w:t xml:space="preserve">                            Partnerzy Akademii Operowej</w:t>
    </w:r>
    <w:r w:rsidR="00704DF9">
      <w:rPr>
        <w:rFonts w:ascii="Gotham Book" w:hAnsi="Gotham Book"/>
        <w:sz w:val="20"/>
        <w:szCs w:val="20"/>
      </w:rPr>
      <w:tab/>
    </w:r>
    <w:r w:rsidR="00704DF9">
      <w:rPr>
        <w:rFonts w:ascii="Gotham Book" w:hAnsi="Gotham Book"/>
        <w:sz w:val="20"/>
        <w:szCs w:val="20"/>
      </w:rPr>
      <w:tab/>
    </w:r>
  </w:p>
  <w:p w:rsidR="00CA0994" w:rsidRPr="00704DF9" w:rsidRDefault="000750CC" w:rsidP="00704DF9">
    <w:pPr>
      <w:pStyle w:val="Footer"/>
      <w:rPr>
        <w:rFonts w:ascii="Gotham Book" w:hAnsi="Gotham Book"/>
        <w:sz w:val="18"/>
      </w:rPr>
    </w:pPr>
    <w:r>
      <w:rPr>
        <w:rFonts w:ascii="Gotham Book" w:hAnsi="Gotham Book"/>
        <w:sz w:val="18"/>
      </w:rPr>
      <w:t xml:space="preserve">          </w:t>
    </w:r>
    <w:r w:rsidR="00364388">
      <w:rPr>
        <w:rFonts w:ascii="Gotham Book" w:hAnsi="Gotham Book"/>
        <w:noProof/>
        <w:sz w:val="18"/>
        <w:lang w:eastAsia="pl-PL"/>
      </w:rPr>
      <w:drawing>
        <wp:inline distT="0" distB="0" distL="0" distR="0" wp14:anchorId="0FFC4759" wp14:editId="5C49CFDC">
          <wp:extent cx="720000" cy="720000"/>
          <wp:effectExtent l="0" t="0" r="4445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zu papier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Gotham Book" w:hAnsi="Gotham Book"/>
        <w:sz w:val="18"/>
      </w:rPr>
      <w:t xml:space="preserve">          </w:t>
    </w:r>
    <w:r w:rsidR="00704DF9" w:rsidRPr="00704DF9">
      <w:rPr>
        <w:rFonts w:ascii="Gotham Book" w:hAnsi="Gotham Book"/>
        <w:noProof/>
        <w:sz w:val="16"/>
      </w:rPr>
      <w:t xml:space="preserve"> </w:t>
    </w:r>
    <w:r w:rsidR="00704DF9">
      <w:rPr>
        <w:rFonts w:ascii="Gotham Book" w:hAnsi="Gotham Book"/>
        <w:noProof/>
        <w:sz w:val="16"/>
      </w:rPr>
      <w:t xml:space="preserve">                                       </w:t>
    </w:r>
    <w:r w:rsidR="00364388">
      <w:rPr>
        <w:rFonts w:ascii="Gotham Book" w:hAnsi="Gotham Book"/>
        <w:noProof/>
        <w:sz w:val="18"/>
        <w:lang w:eastAsia="pl-PL"/>
      </w:rPr>
      <w:drawing>
        <wp:inline distT="0" distB="0" distL="0" distR="0" wp14:anchorId="16B82369" wp14:editId="3133299E">
          <wp:extent cx="723910" cy="720000"/>
          <wp:effectExtent l="0" t="0" r="0" b="444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rlen.jpg"/>
                  <pic:cNvPicPr/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1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04DF9">
      <w:rPr>
        <w:rFonts w:ascii="Gotham Book" w:hAnsi="Gotham Book"/>
        <w:noProof/>
        <w:sz w:val="16"/>
      </w:rPr>
      <w:t xml:space="preserve">                                                                           </w:t>
    </w:r>
  </w:p>
  <w:p w:rsidR="00CA0994" w:rsidRPr="002E155E" w:rsidRDefault="00CA0994" w:rsidP="001A1270">
    <w:pPr>
      <w:pStyle w:val="Footer"/>
      <w:jc w:val="center"/>
      <w:rPr>
        <w:rFonts w:ascii="Gotham Book" w:hAnsi="Gotham Book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488" w:rsidRDefault="00927488" w:rsidP="00646748">
      <w:pPr>
        <w:spacing w:after="0" w:line="240" w:lineRule="auto"/>
      </w:pPr>
      <w:bookmarkStart w:id="0" w:name="_Hlk31202505"/>
      <w:bookmarkEnd w:id="0"/>
      <w:r>
        <w:separator/>
      </w:r>
    </w:p>
  </w:footnote>
  <w:footnote w:type="continuationSeparator" w:id="0">
    <w:p w:rsidR="00927488" w:rsidRDefault="00927488" w:rsidP="00646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522" w:rsidRDefault="00646748">
    <w:pPr>
      <w:pStyle w:val="Header"/>
      <w:rPr>
        <w:noProof/>
      </w:rPr>
    </w:pPr>
    <w:r>
      <w:rPr>
        <w:noProof/>
      </w:rPr>
      <w:ptab w:relativeTo="margin" w:alignment="left" w:leader="none"/>
    </w:r>
    <w:r>
      <w:rPr>
        <w:noProof/>
      </w:rPr>
      <w:ptab w:relativeTo="indent" w:alignment="left" w:leader="none"/>
    </w:r>
  </w:p>
  <w:p w:rsidR="00EE3522" w:rsidRDefault="00646748">
    <w:pPr>
      <w:pStyle w:val="Header"/>
      <w:rPr>
        <w:noProof/>
      </w:rPr>
    </w:pPr>
    <w:r>
      <w:rPr>
        <w:noProof/>
      </w:rPr>
      <w:ptab w:relativeTo="indent" w:alignment="center" w:leader="none"/>
    </w:r>
    <w:r>
      <w:rPr>
        <w:noProof/>
      </w:rPr>
      <w:tab/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00301"/>
    <w:multiLevelType w:val="hybridMultilevel"/>
    <w:tmpl w:val="D20E20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EA4FB5"/>
    <w:multiLevelType w:val="hybridMultilevel"/>
    <w:tmpl w:val="54EEB5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2B4673"/>
    <w:multiLevelType w:val="multilevel"/>
    <w:tmpl w:val="D91ED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410735"/>
    <w:multiLevelType w:val="hybridMultilevel"/>
    <w:tmpl w:val="5568067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546C0F"/>
    <w:multiLevelType w:val="hybridMultilevel"/>
    <w:tmpl w:val="9D241EF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48"/>
    <w:rsid w:val="000029F3"/>
    <w:rsid w:val="00015516"/>
    <w:rsid w:val="000179A8"/>
    <w:rsid w:val="0005369B"/>
    <w:rsid w:val="000750CC"/>
    <w:rsid w:val="00076DE8"/>
    <w:rsid w:val="000829AE"/>
    <w:rsid w:val="00091C66"/>
    <w:rsid w:val="000A7757"/>
    <w:rsid w:val="00100296"/>
    <w:rsid w:val="00114D56"/>
    <w:rsid w:val="001308D4"/>
    <w:rsid w:val="0014154A"/>
    <w:rsid w:val="00152B1B"/>
    <w:rsid w:val="0016425D"/>
    <w:rsid w:val="001736B3"/>
    <w:rsid w:val="001A1270"/>
    <w:rsid w:val="001A66FD"/>
    <w:rsid w:val="001C3095"/>
    <w:rsid w:val="001C4266"/>
    <w:rsid w:val="00233E2A"/>
    <w:rsid w:val="002A799F"/>
    <w:rsid w:val="002C5F87"/>
    <w:rsid w:val="002D6C66"/>
    <w:rsid w:val="002D7CDE"/>
    <w:rsid w:val="002E155E"/>
    <w:rsid w:val="00316537"/>
    <w:rsid w:val="00323764"/>
    <w:rsid w:val="00336514"/>
    <w:rsid w:val="00363B5A"/>
    <w:rsid w:val="00364388"/>
    <w:rsid w:val="0039552B"/>
    <w:rsid w:val="003A50D2"/>
    <w:rsid w:val="003D137A"/>
    <w:rsid w:val="003D58E3"/>
    <w:rsid w:val="004011F9"/>
    <w:rsid w:val="00430F2A"/>
    <w:rsid w:val="004501F2"/>
    <w:rsid w:val="004709D1"/>
    <w:rsid w:val="00471792"/>
    <w:rsid w:val="00475416"/>
    <w:rsid w:val="00481D3E"/>
    <w:rsid w:val="00487C44"/>
    <w:rsid w:val="004A438C"/>
    <w:rsid w:val="004C3F89"/>
    <w:rsid w:val="004E2825"/>
    <w:rsid w:val="004F6BA1"/>
    <w:rsid w:val="005106E2"/>
    <w:rsid w:val="005162E7"/>
    <w:rsid w:val="005325B0"/>
    <w:rsid w:val="00537020"/>
    <w:rsid w:val="00537BB7"/>
    <w:rsid w:val="0057569D"/>
    <w:rsid w:val="00583B3B"/>
    <w:rsid w:val="00592126"/>
    <w:rsid w:val="005B7E72"/>
    <w:rsid w:val="005D015D"/>
    <w:rsid w:val="005E041E"/>
    <w:rsid w:val="005E51D3"/>
    <w:rsid w:val="00603FDB"/>
    <w:rsid w:val="0061272E"/>
    <w:rsid w:val="00635DC8"/>
    <w:rsid w:val="006411BC"/>
    <w:rsid w:val="00646748"/>
    <w:rsid w:val="006513E3"/>
    <w:rsid w:val="006535B6"/>
    <w:rsid w:val="006558CE"/>
    <w:rsid w:val="00671467"/>
    <w:rsid w:val="006737EB"/>
    <w:rsid w:val="006A13A4"/>
    <w:rsid w:val="006A7A8B"/>
    <w:rsid w:val="006A7E96"/>
    <w:rsid w:val="006B178C"/>
    <w:rsid w:val="006B28EC"/>
    <w:rsid w:val="006B2AFF"/>
    <w:rsid w:val="006F18CC"/>
    <w:rsid w:val="00704DF9"/>
    <w:rsid w:val="0075405F"/>
    <w:rsid w:val="00754AF0"/>
    <w:rsid w:val="00762201"/>
    <w:rsid w:val="007C74C7"/>
    <w:rsid w:val="007C774B"/>
    <w:rsid w:val="007D2F94"/>
    <w:rsid w:val="007D51AE"/>
    <w:rsid w:val="007E0C26"/>
    <w:rsid w:val="00834A4E"/>
    <w:rsid w:val="0083628F"/>
    <w:rsid w:val="00842008"/>
    <w:rsid w:val="00845985"/>
    <w:rsid w:val="008636D3"/>
    <w:rsid w:val="0089046A"/>
    <w:rsid w:val="008906B8"/>
    <w:rsid w:val="008A04EB"/>
    <w:rsid w:val="008A5887"/>
    <w:rsid w:val="008D1818"/>
    <w:rsid w:val="009216AD"/>
    <w:rsid w:val="00923CC1"/>
    <w:rsid w:val="00927488"/>
    <w:rsid w:val="0093635D"/>
    <w:rsid w:val="00957BDA"/>
    <w:rsid w:val="00967649"/>
    <w:rsid w:val="009807DA"/>
    <w:rsid w:val="009A1E0A"/>
    <w:rsid w:val="009D4088"/>
    <w:rsid w:val="009D5C71"/>
    <w:rsid w:val="00A11C50"/>
    <w:rsid w:val="00A27BAA"/>
    <w:rsid w:val="00A55E5B"/>
    <w:rsid w:val="00A750E9"/>
    <w:rsid w:val="00A75DCA"/>
    <w:rsid w:val="00A802B8"/>
    <w:rsid w:val="00A92915"/>
    <w:rsid w:val="00A9349C"/>
    <w:rsid w:val="00AA6057"/>
    <w:rsid w:val="00AB04B3"/>
    <w:rsid w:val="00AB566A"/>
    <w:rsid w:val="00AE6BFF"/>
    <w:rsid w:val="00B1484B"/>
    <w:rsid w:val="00B154F9"/>
    <w:rsid w:val="00B17E45"/>
    <w:rsid w:val="00B20683"/>
    <w:rsid w:val="00B2446B"/>
    <w:rsid w:val="00B27819"/>
    <w:rsid w:val="00B56354"/>
    <w:rsid w:val="00B66DC3"/>
    <w:rsid w:val="00BD2B1B"/>
    <w:rsid w:val="00BE26FA"/>
    <w:rsid w:val="00BF3A10"/>
    <w:rsid w:val="00BF4A37"/>
    <w:rsid w:val="00C01FD6"/>
    <w:rsid w:val="00C62CB4"/>
    <w:rsid w:val="00C85A5C"/>
    <w:rsid w:val="00CA0994"/>
    <w:rsid w:val="00CA739E"/>
    <w:rsid w:val="00CD0BA3"/>
    <w:rsid w:val="00CD1BF9"/>
    <w:rsid w:val="00CE2B24"/>
    <w:rsid w:val="00CE5186"/>
    <w:rsid w:val="00CE6189"/>
    <w:rsid w:val="00D10994"/>
    <w:rsid w:val="00D12605"/>
    <w:rsid w:val="00D241C0"/>
    <w:rsid w:val="00D4050C"/>
    <w:rsid w:val="00D809F7"/>
    <w:rsid w:val="00D82959"/>
    <w:rsid w:val="00D9363D"/>
    <w:rsid w:val="00D9514E"/>
    <w:rsid w:val="00DC7970"/>
    <w:rsid w:val="00DE6EC1"/>
    <w:rsid w:val="00DE7F12"/>
    <w:rsid w:val="00E04888"/>
    <w:rsid w:val="00E542D6"/>
    <w:rsid w:val="00E91560"/>
    <w:rsid w:val="00E93171"/>
    <w:rsid w:val="00EA75B3"/>
    <w:rsid w:val="00EE3522"/>
    <w:rsid w:val="00EE6398"/>
    <w:rsid w:val="00EF6589"/>
    <w:rsid w:val="00F07362"/>
    <w:rsid w:val="00F6193E"/>
    <w:rsid w:val="00F64C63"/>
    <w:rsid w:val="00FA698C"/>
    <w:rsid w:val="00FC3E75"/>
    <w:rsid w:val="00FC51EE"/>
    <w:rsid w:val="00FD1B77"/>
    <w:rsid w:val="00FE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B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748"/>
  </w:style>
  <w:style w:type="paragraph" w:styleId="Footer">
    <w:name w:val="footer"/>
    <w:basedOn w:val="Normal"/>
    <w:link w:val="FooterChar"/>
    <w:uiPriority w:val="99"/>
    <w:unhideWhenUsed/>
    <w:rsid w:val="00646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748"/>
  </w:style>
  <w:style w:type="paragraph" w:styleId="BalloonText">
    <w:name w:val="Balloon Text"/>
    <w:basedOn w:val="Normal"/>
    <w:link w:val="BalloonTextChar"/>
    <w:uiPriority w:val="99"/>
    <w:semiHidden/>
    <w:unhideWhenUsed/>
    <w:rsid w:val="006467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74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6425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Emphasis">
    <w:name w:val="Emphasis"/>
    <w:uiPriority w:val="20"/>
    <w:qFormat/>
    <w:rsid w:val="0016425D"/>
    <w:rPr>
      <w:i/>
      <w:iCs/>
    </w:rPr>
  </w:style>
  <w:style w:type="character" w:styleId="Hyperlink">
    <w:name w:val="Hyperlink"/>
    <w:uiPriority w:val="99"/>
    <w:unhideWhenUsed/>
    <w:rsid w:val="0016425D"/>
    <w:rPr>
      <w:color w:val="0000FF"/>
      <w:u w:val="single"/>
    </w:rPr>
  </w:style>
  <w:style w:type="paragraph" w:customStyle="1" w:styleId="Default">
    <w:name w:val="Default"/>
    <w:rsid w:val="00D109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9807D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A7A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B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748"/>
  </w:style>
  <w:style w:type="paragraph" w:styleId="Footer">
    <w:name w:val="footer"/>
    <w:basedOn w:val="Normal"/>
    <w:link w:val="FooterChar"/>
    <w:uiPriority w:val="99"/>
    <w:unhideWhenUsed/>
    <w:rsid w:val="00646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748"/>
  </w:style>
  <w:style w:type="paragraph" w:styleId="BalloonText">
    <w:name w:val="Balloon Text"/>
    <w:basedOn w:val="Normal"/>
    <w:link w:val="BalloonTextChar"/>
    <w:uiPriority w:val="99"/>
    <w:semiHidden/>
    <w:unhideWhenUsed/>
    <w:rsid w:val="006467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74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6425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Emphasis">
    <w:name w:val="Emphasis"/>
    <w:uiPriority w:val="20"/>
    <w:qFormat/>
    <w:rsid w:val="0016425D"/>
    <w:rPr>
      <w:i/>
      <w:iCs/>
    </w:rPr>
  </w:style>
  <w:style w:type="character" w:styleId="Hyperlink">
    <w:name w:val="Hyperlink"/>
    <w:uiPriority w:val="99"/>
    <w:unhideWhenUsed/>
    <w:rsid w:val="0016425D"/>
    <w:rPr>
      <w:color w:val="0000FF"/>
      <w:u w:val="single"/>
    </w:rPr>
  </w:style>
  <w:style w:type="paragraph" w:customStyle="1" w:styleId="Default">
    <w:name w:val="Default"/>
    <w:rsid w:val="00D109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9807D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A7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4" Type="http://schemas.microsoft.com/office/2007/relationships/hdphoto" Target="media/hdphoto2.wdp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1032</Words>
  <Characters>6194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Władyka</dc:creator>
  <cp:lastModifiedBy>adamski</cp:lastModifiedBy>
  <cp:revision>3</cp:revision>
  <dcterms:created xsi:type="dcterms:W3CDTF">2020-05-14T12:54:00Z</dcterms:created>
  <dcterms:modified xsi:type="dcterms:W3CDTF">2020-05-14T16:42:00Z</dcterms:modified>
</cp:coreProperties>
</file>